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42E5" w14:textId="77777777" w:rsidR="00780E1D" w:rsidRPr="00780E1D" w:rsidRDefault="00780E1D" w:rsidP="00780E1D">
      <w:pPr>
        <w:spacing w:before="120" w:after="60" w:line="270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CỘNG HÒA XÃ HỘI CHỦ NGHĨA VIỆT NAM</w:t>
      </w:r>
    </w:p>
    <w:p w14:paraId="022328C8" w14:textId="77777777" w:rsidR="00780E1D" w:rsidRPr="00780E1D" w:rsidRDefault="00780E1D" w:rsidP="00780E1D">
      <w:pPr>
        <w:spacing w:before="120" w:after="60" w:line="270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Độc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lập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–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Tự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do –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Hạnh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phúc</w:t>
      </w:r>
      <w:proofErr w:type="spellEnd"/>
    </w:p>
    <w:p w14:paraId="19E02F1D" w14:textId="77777777" w:rsidR="00780E1D" w:rsidRPr="00780E1D" w:rsidRDefault="00780E1D" w:rsidP="00780E1D">
      <w:pPr>
        <w:spacing w:before="120" w:after="60" w:line="270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487C36B1" w14:textId="573EAF23" w:rsidR="00780E1D" w:rsidRPr="00780E1D" w:rsidRDefault="00780E1D" w:rsidP="00780E1D">
      <w:pPr>
        <w:spacing w:after="0" w:line="270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HỢP ĐỒNG THẾ CHẤP Ô TÔ</w:t>
      </w:r>
      <w:bookmarkStart w:id="0" w:name="_ftnref1"/>
      <w:bookmarkEnd w:id="0"/>
    </w:p>
    <w:p w14:paraId="604AF5E5" w14:textId="77777777" w:rsidR="00780E1D" w:rsidRPr="00780E1D" w:rsidRDefault="00780E1D" w:rsidP="00780E1D">
      <w:pPr>
        <w:spacing w:after="0" w:line="270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:u w:val="single"/>
          <w14:ligatures w14:val="none"/>
        </w:rPr>
        <w:t>Số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:u w:val="single"/>
          <w14:ligatures w14:val="none"/>
        </w:rPr>
        <w:t>: ......./......./BĐ</w:t>
      </w:r>
    </w:p>
    <w:p w14:paraId="36C84AFA" w14:textId="77777777" w:rsidR="00780E1D" w:rsidRPr="00780E1D" w:rsidRDefault="00780E1D" w:rsidP="00780E1D">
      <w:pPr>
        <w:spacing w:after="0" w:line="270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14:paraId="3CF12B2B" w14:textId="77777777" w:rsidR="00780E1D" w:rsidRPr="00780E1D" w:rsidRDefault="00780E1D" w:rsidP="00780E1D">
      <w:pPr>
        <w:spacing w:after="0" w:line="270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Hôm</w:t>
      </w:r>
      <w:proofErr w:type="spellEnd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nay, </w:t>
      </w:r>
      <w:proofErr w:type="spellStart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 </w:t>
      </w: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......</w:t>
      </w:r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 </w:t>
      </w: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......</w:t>
      </w:r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20</w:t>
      </w: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 ......</w:t>
      </w:r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 Ngân </w:t>
      </w:r>
      <w:proofErr w:type="spellStart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……………………………</w:t>
      </w:r>
      <w:proofErr w:type="gramStart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….</w:t>
      </w:r>
      <w:proofErr w:type="spellStart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chúng</w:t>
      </w:r>
      <w:proofErr w:type="spellEnd"/>
      <w:proofErr w:type="gramEnd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gồm</w:t>
      </w:r>
      <w:proofErr w:type="spellEnd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:</w:t>
      </w:r>
    </w:p>
    <w:p w14:paraId="0B11DC01" w14:textId="7A5CDAB1" w:rsidR="00780E1D" w:rsidRPr="00780E1D" w:rsidRDefault="00780E1D" w:rsidP="00780E1D">
      <w:pPr>
        <w:spacing w:after="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1.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chấp</w:t>
      </w:r>
      <w:bookmarkStart w:id="1" w:name="_ftnref2"/>
      <w:bookmarkEnd w:id="1"/>
      <w:proofErr w:type="spellEnd"/>
      <w:r>
        <w:rPr>
          <w:rFonts w:ascii="Arial" w:eastAsia="Times New Roman" w:hAnsi="Arial" w:cs="Arial"/>
          <w:color w:val="5498D4"/>
          <w:kern w:val="0"/>
          <w:sz w:val="18"/>
          <w:szCs w:val="18"/>
          <w14:ligatures w14:val="none"/>
        </w:rPr>
        <w:t>:</w:t>
      </w: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</w:t>
      </w:r>
      <w:proofErr w:type="gramEnd"/>
    </w:p>
    <w:p w14:paraId="4731BB80" w14:textId="77777777" w:rsidR="00780E1D" w:rsidRPr="00780E1D" w:rsidRDefault="00780E1D" w:rsidP="00780E1D">
      <w:pPr>
        <w:spacing w:after="0" w:line="270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.....................................................................................................................</w:t>
      </w:r>
    </w:p>
    <w:p w14:paraId="59F2EC9F" w14:textId="77777777" w:rsidR="00780E1D" w:rsidRPr="00780E1D" w:rsidRDefault="00780E1D" w:rsidP="00780E1D">
      <w:pPr>
        <w:spacing w:after="0" w:line="270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Điện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thoại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.....................Fax: .....................</w:t>
      </w:r>
    </w:p>
    <w:p w14:paraId="576C88C5" w14:textId="77777777" w:rsidR="00780E1D" w:rsidRPr="00780E1D" w:rsidRDefault="00780E1D" w:rsidP="00780E1D">
      <w:pPr>
        <w:spacing w:after="0" w:line="270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ĐKKD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Nơi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</w:t>
      </w:r>
    </w:p>
    <w:p w14:paraId="79C7D4D0" w14:textId="77777777" w:rsidR="00780E1D" w:rsidRPr="00780E1D" w:rsidRDefault="00780E1D" w:rsidP="00780E1D">
      <w:pPr>
        <w:spacing w:after="0" w:line="270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đại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diện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</w:t>
      </w:r>
    </w:p>
    <w:p w14:paraId="023C3B4F" w14:textId="77777777" w:rsidR="00780E1D" w:rsidRPr="00780E1D" w:rsidRDefault="00780E1D" w:rsidP="00780E1D">
      <w:pPr>
        <w:spacing w:after="0" w:line="270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CMND/CCCD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Nơi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</w:t>
      </w:r>
    </w:p>
    <w:p w14:paraId="5BBBF008" w14:textId="77777777" w:rsidR="00780E1D" w:rsidRPr="00780E1D" w:rsidRDefault="00780E1D" w:rsidP="00780E1D">
      <w:pPr>
        <w:spacing w:after="0" w:line="270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khoản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gửi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gram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VN:.....................</w:t>
      </w:r>
      <w:proofErr w:type="spellStart"/>
      <w:proofErr w:type="gram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Ngân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hàng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.....................</w:t>
      </w:r>
    </w:p>
    <w:p w14:paraId="53F454CC" w14:textId="77777777" w:rsidR="00780E1D" w:rsidRPr="00780E1D" w:rsidRDefault="00780E1D" w:rsidP="00780E1D">
      <w:pPr>
        <w:spacing w:after="0" w:line="270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khoản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gửi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ngoại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tệ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:.....................</w:t>
      </w:r>
      <w:proofErr w:type="spellStart"/>
      <w:proofErr w:type="gram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Ngân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hàng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.....................</w:t>
      </w:r>
    </w:p>
    <w:p w14:paraId="5F660A8C" w14:textId="77777777" w:rsidR="00780E1D" w:rsidRPr="00780E1D" w:rsidRDefault="00780E1D" w:rsidP="00780E1D">
      <w:pPr>
        <w:spacing w:after="0" w:line="270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Giấy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uỷ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</w:t>
      </w:r>
    </w:p>
    <w:p w14:paraId="68AF8109" w14:textId="77777777" w:rsidR="00780E1D" w:rsidRPr="00780E1D" w:rsidRDefault="00780E1D" w:rsidP="00780E1D">
      <w:pPr>
        <w:spacing w:before="240"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2.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 </w:t>
      </w:r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Ngân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</w:t>
      </w:r>
    </w:p>
    <w:p w14:paraId="2FF630DB" w14:textId="77777777" w:rsidR="00780E1D" w:rsidRPr="00780E1D" w:rsidRDefault="00780E1D" w:rsidP="00780E1D">
      <w:pPr>
        <w:spacing w:after="0" w:line="270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.....................................................................................................................</w:t>
      </w:r>
    </w:p>
    <w:p w14:paraId="12BCFB55" w14:textId="77777777" w:rsidR="00780E1D" w:rsidRPr="00780E1D" w:rsidRDefault="00780E1D" w:rsidP="00780E1D">
      <w:pPr>
        <w:spacing w:after="0" w:line="270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Điện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thoại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.....................Fax: .....................</w:t>
      </w:r>
    </w:p>
    <w:p w14:paraId="7702A113" w14:textId="77777777" w:rsidR="00780E1D" w:rsidRPr="00780E1D" w:rsidRDefault="00780E1D" w:rsidP="00780E1D">
      <w:pPr>
        <w:spacing w:after="0" w:line="270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ĐKKD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Nơi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</w:t>
      </w:r>
    </w:p>
    <w:p w14:paraId="3AEA54C2" w14:textId="77777777" w:rsidR="00780E1D" w:rsidRPr="00780E1D" w:rsidRDefault="00780E1D" w:rsidP="00780E1D">
      <w:pPr>
        <w:spacing w:after="0" w:line="270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đại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diện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</w:t>
      </w:r>
    </w:p>
    <w:p w14:paraId="4AC25DE2" w14:textId="77777777" w:rsidR="00780E1D" w:rsidRPr="00780E1D" w:rsidRDefault="00780E1D" w:rsidP="00780E1D">
      <w:pPr>
        <w:spacing w:after="0" w:line="270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Giấy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uỷ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</w:t>
      </w: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 .....................             </w:t>
      </w:r>
    </w:p>
    <w:p w14:paraId="1D9884EA" w14:textId="77777777" w:rsidR="00780E1D" w:rsidRPr="00780E1D" w:rsidRDefault="00780E1D" w:rsidP="00780E1D">
      <w:pPr>
        <w:spacing w:after="60" w:line="270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(</w:t>
      </w:r>
      <w:proofErr w:type="spellStart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gọi</w:t>
      </w:r>
      <w:proofErr w:type="spellEnd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tắt</w:t>
      </w:r>
      <w:proofErr w:type="spellEnd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780E1D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“NGÂN HÀNG”)</w:t>
      </w:r>
    </w:p>
    <w:p w14:paraId="7F2FC85D" w14:textId="77777777" w:rsidR="00780E1D" w:rsidRPr="00780E1D" w:rsidRDefault="00780E1D" w:rsidP="00780E1D">
      <w:pPr>
        <w:spacing w:before="240" w:after="60" w:line="270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thoả</w:t>
      </w:r>
      <w:proofErr w:type="spellEnd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ô </w:t>
      </w:r>
      <w:proofErr w:type="spellStart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tô</w:t>
      </w:r>
      <w:proofErr w:type="spellEnd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780E1D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:</w:t>
      </w:r>
    </w:p>
    <w:p w14:paraId="6726A34D" w14:textId="77777777" w:rsidR="00780E1D" w:rsidRPr="00780E1D" w:rsidRDefault="00780E1D" w:rsidP="00780E1D">
      <w:pPr>
        <w:spacing w:before="240" w:after="60" w:line="270" w:lineRule="atLeast"/>
        <w:ind w:left="964" w:hanging="96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1.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</w:t>
      </w:r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Nghĩa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đảm</w:t>
      </w:r>
      <w:proofErr w:type="spellEnd"/>
    </w:p>
    <w:p w14:paraId="5053A334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1.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ô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tô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thuộc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 NGÂN HÀNG, bao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gồm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gốc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),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,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 chi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,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thiệt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.</w:t>
      </w:r>
      <w:proofErr w:type="gramEnd"/>
    </w:p>
    <w:p w14:paraId="33A8E0C0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2.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Nghĩa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spacing w:val="-2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thoả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1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bao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gồm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lục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chỉnh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sửa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bổ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sung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0C2FDF0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3.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độ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Biên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lục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giữa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nguyên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tắc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tương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394D860" w14:textId="77777777" w:rsidR="00780E1D" w:rsidRPr="00780E1D" w:rsidRDefault="00780E1D" w:rsidP="00780E1D">
      <w:pPr>
        <w:spacing w:before="240" w:after="60" w:line="270" w:lineRule="atLeast"/>
        <w:ind w:left="964" w:hanging="96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2.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</w:t>
      </w:r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Tài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chấp</w:t>
      </w:r>
      <w:proofErr w:type="spellEnd"/>
    </w:p>
    <w:p w14:paraId="003D9BD8" w14:textId="77777777" w:rsidR="00780E1D" w:rsidRPr="00780E1D" w:rsidRDefault="00780E1D" w:rsidP="00780E1D">
      <w:pPr>
        <w:spacing w:after="60" w:line="270" w:lineRule="atLeast"/>
        <w:ind w:left="403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xe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ô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tô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thuộc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gọi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tắt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“Tài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”), chi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tiết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mô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đầy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liệu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56904D16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lastRenderedPageBreak/>
        <w:t>1.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Xe ô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tô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thuộc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xe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ô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tô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......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do </w:t>
      </w: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......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......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</w:p>
    <w:p w14:paraId="78EA37DB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xe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</w:t>
      </w:r>
    </w:p>
    <w:p w14:paraId="4C6DC63E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trú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</w:t>
      </w:r>
    </w:p>
    <w:p w14:paraId="2A5B11C4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ô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tô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 </w:t>
      </w: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</w:t>
      </w:r>
    </w:p>
    <w:p w14:paraId="02C54C7F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xe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</w:t>
      </w:r>
    </w:p>
    <w:p w14:paraId="661451C4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máy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</w:t>
      </w:r>
    </w:p>
    <w:p w14:paraId="3491BDCC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khung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</w:t>
      </w:r>
    </w:p>
    <w:p w14:paraId="562B13AC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Biển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</w:t>
      </w:r>
    </w:p>
    <w:p w14:paraId="4D9EA226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2.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Các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hiểm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,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trang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thiết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kèm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,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phần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thêm</w:t>
      </w:r>
      <w:proofErr w:type="spellEnd"/>
      <w:r w:rsidRPr="00780E1D">
        <w:rPr>
          <w:rFonts w:eastAsia="Times New Roman" w:cs="Times New Roman"/>
          <w:color w:val="FF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gắn</w:t>
      </w:r>
      <w:proofErr w:type="spellEnd"/>
      <w:r w:rsidRPr="00780E1D">
        <w:rPr>
          <w:rFonts w:eastAsia="Times New Roman" w:cs="Times New Roman"/>
          <w:color w:val="FF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liền</w:t>
      </w:r>
      <w:proofErr w:type="spellEnd"/>
      <w:r w:rsidRPr="00780E1D">
        <w:rPr>
          <w:rFonts w:eastAsia="Times New Roman" w:cs="Times New Roman"/>
          <w:color w:val="FF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đều</w:t>
      </w:r>
      <w:proofErr w:type="spellEnd"/>
      <w:r w:rsidRPr="00780E1D">
        <w:rPr>
          <w:rFonts w:eastAsia="Times New Roman" w:cs="Times New Roman"/>
          <w:color w:val="FF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thuộc</w:t>
      </w:r>
      <w:proofErr w:type="spellEnd"/>
      <w:r w:rsidRPr="00780E1D">
        <w:rPr>
          <w:rFonts w:eastAsia="Times New Roman" w:cs="Times New Roman"/>
          <w:color w:val="FF0000"/>
          <w:kern w:val="0"/>
          <w:sz w:val="24"/>
          <w:szCs w:val="24"/>
          <w14:ligatures w14:val="none"/>
        </w:rPr>
        <w:t>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FF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FF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FF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FF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trừ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thoả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9BF5E86" w14:textId="77777777" w:rsidR="00780E1D" w:rsidRPr="00780E1D" w:rsidRDefault="00780E1D" w:rsidP="00780E1D">
      <w:pPr>
        <w:spacing w:before="240" w:after="60" w:line="270" w:lineRule="atLeast"/>
        <w:ind w:left="964" w:hanging="96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3.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chấp</w:t>
      </w:r>
      <w:proofErr w:type="spellEnd"/>
    </w:p>
    <w:p w14:paraId="1D9A28E7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1.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2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thoả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......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Biên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......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chiếu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E1FE0D0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2.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,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gốc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cao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......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8005C8F" w14:textId="77777777" w:rsidR="00780E1D" w:rsidRPr="00780E1D" w:rsidRDefault="00780E1D" w:rsidP="00780E1D">
      <w:pPr>
        <w:spacing w:before="240" w:after="120" w:line="270" w:lineRule="atLeast"/>
        <w:ind w:left="964" w:hanging="96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4.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Quyền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chấp</w:t>
      </w:r>
      <w:proofErr w:type="spellEnd"/>
    </w:p>
    <w:p w14:paraId="70EBC159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1.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1F6566A6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a)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vốn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</w:p>
    <w:p w14:paraId="101FB6C3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b)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,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,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hưởng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,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,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thuộc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BB3231E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c)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tăng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thuộc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,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trừ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thoả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2570C4B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d)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gốc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,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hoàn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1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07F5D48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e)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thiệt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hư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hỏng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gốc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12A6A4D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f)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thuê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mượn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thuê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mượn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thuê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mượn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đang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 NGÂN HÀNG,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thoả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thuê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mượn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 “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thuê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mượn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hồi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thuê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mượn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thuê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mượn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dứt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thuê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)”.</w:t>
      </w:r>
    </w:p>
    <w:p w14:paraId="733CC8F6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g)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bổ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sung,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trao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tặng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góp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vốn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doanh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DF68005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2.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749A4D5A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a)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gốc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minh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E967A8B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lastRenderedPageBreak/>
        <w:t>b)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xoá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 NGÂN HÀNG,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chịu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Pháp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sửa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bổ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sung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4DE80248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c)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). Trong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huỷ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thiệt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trì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8AC718D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d)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nhượng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trao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tặng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góp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vốn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mục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đích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trừ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HÀNG.</w:t>
      </w:r>
    </w:p>
    <w:p w14:paraId="6A8D0F8D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e)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Mua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chịu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hiểm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suốt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vốn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 NGÂN HÀNG.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hiểm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nhượng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hậu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lệnh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hậu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đích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danh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 NGÂN HÀNG;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hiểm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rõ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hưởng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 NGÂN HÀNG;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ủy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hưởng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hiểm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hiểm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ủy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. Trường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xảy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hiểm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hiểm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phối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thủ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tục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hiểm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hiểm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 NGÂN HÀNG. Trường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,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hiểm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khấu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trừ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09A928D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f)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đầy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1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Chịu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đánh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nộp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4F50E82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g)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kiểm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kịp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thiết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ngừng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tục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83A3830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h)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Khi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hư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hỏng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huỷ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mát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sút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10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 NGÂN HÀNG,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sửa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chữa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tương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đương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C8A74A8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i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6AA4E76" w14:textId="77777777" w:rsidR="00780E1D" w:rsidRPr="00780E1D" w:rsidRDefault="00780E1D" w:rsidP="00780E1D">
      <w:pPr>
        <w:spacing w:before="240" w:after="120" w:line="270" w:lineRule="atLeast"/>
        <w:ind w:left="964" w:hanging="96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5.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Quyền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NGÂN HÀNG</w:t>
      </w:r>
    </w:p>
    <w:p w14:paraId="2E90E168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1.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072412C6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a)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cung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trạng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sát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kiểm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đột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0DF0EE0E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b)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Lưu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gốc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minh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EE9446F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c)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thuê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mượn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ngừng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thuê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mượn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thiết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khắc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phục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huỷ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sút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thuê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mượn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 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5F33CC1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lastRenderedPageBreak/>
        <w:t>d)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hồi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cam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F6E7747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e)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hồi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uỷ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BE2BD5B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f)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hiểm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hiểm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rủi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ro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xảy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hiểm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4870860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g)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hồi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B592D2E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h)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Các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thoả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7272389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2.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638B3933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a)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Bảo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gốc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minh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F1E5216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b)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gốc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hoàn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93FF9CB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c)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gốc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tương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phần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ảnh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hưởng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65EDEDA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d)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thiệt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hư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hỏng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gốc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0981FA6" w14:textId="77777777" w:rsidR="00780E1D" w:rsidRPr="00780E1D" w:rsidRDefault="00780E1D" w:rsidP="00780E1D">
      <w:pPr>
        <w:spacing w:before="240" w:after="120" w:line="270" w:lineRule="atLeast"/>
        <w:ind w:left="964" w:hanging="96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6.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sản</w:t>
      </w:r>
      <w:proofErr w:type="spellEnd"/>
    </w:p>
    <w:p w14:paraId="0702DD9A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1.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Các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13FC1C90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a)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Khi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HÀNG;</w:t>
      </w:r>
    </w:p>
    <w:p w14:paraId="49E07BF5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b)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Khi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hư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hỏng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xuống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phục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bổ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sung,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phục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bổ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sung,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44002FF5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c)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Các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63CAE8F" w14:textId="792DB290" w:rsidR="00780E1D" w:rsidRPr="00780E1D" w:rsidRDefault="00780E1D" w:rsidP="00780E1D">
      <w:pPr>
        <w:spacing w:after="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d)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bookmarkStart w:id="2" w:name="_ftnref3"/>
      <w:bookmarkEnd w:id="2"/>
      <w:proofErr w:type="spellEnd"/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cổ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phần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chia,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tách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nhượng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)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710174A5" w14:textId="77777777" w:rsidR="00780E1D" w:rsidRPr="00780E1D" w:rsidRDefault="00780E1D" w:rsidP="00780E1D">
      <w:pPr>
        <w:spacing w:before="120" w:after="120" w:line="264" w:lineRule="atLeast"/>
        <w:ind w:left="1080" w:hanging="288"/>
        <w:jc w:val="both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-</w:t>
      </w:r>
      <w:r w:rsidRPr="00780E1D">
        <w:rPr>
          <w:rFonts w:eastAsia="Times New Roman" w:cs="Times New Roman"/>
          <w:b/>
          <w:bCs/>
          <w:color w:val="000000"/>
          <w:kern w:val="0"/>
          <w:sz w:val="14"/>
          <w:szCs w:val="14"/>
          <w14:ligatures w14:val="none"/>
        </w:rPr>
        <w:t>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gốc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vòng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30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</w:p>
    <w:p w14:paraId="5FE4CFD5" w14:textId="77777777" w:rsidR="00780E1D" w:rsidRPr="00780E1D" w:rsidRDefault="00780E1D" w:rsidP="00780E1D">
      <w:pPr>
        <w:spacing w:before="120" w:after="120" w:line="264" w:lineRule="atLeast"/>
        <w:ind w:left="1080" w:hanging="288"/>
        <w:jc w:val="both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-</w:t>
      </w:r>
      <w:r w:rsidRPr="00780E1D">
        <w:rPr>
          <w:rFonts w:eastAsia="Times New Roman" w:cs="Times New Roman"/>
          <w:b/>
          <w:bCs/>
          <w:color w:val="000000"/>
          <w:kern w:val="0"/>
          <w:sz w:val="14"/>
          <w:szCs w:val="14"/>
          <w14:ligatures w14:val="none"/>
        </w:rPr>
        <w:t>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sang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</w:p>
    <w:p w14:paraId="6805FBD0" w14:textId="77777777" w:rsidR="00780E1D" w:rsidRPr="00780E1D" w:rsidRDefault="00780E1D" w:rsidP="00780E1D">
      <w:pPr>
        <w:spacing w:before="120" w:after="120" w:line="264" w:lineRule="atLeast"/>
        <w:ind w:left="1080" w:hanging="288"/>
        <w:jc w:val="both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-</w:t>
      </w:r>
      <w:r w:rsidRPr="00780E1D">
        <w:rPr>
          <w:rFonts w:eastAsia="Times New Roman" w:cs="Times New Roman"/>
          <w:b/>
          <w:bCs/>
          <w:color w:val="000000"/>
          <w:kern w:val="0"/>
          <w:sz w:val="14"/>
          <w:szCs w:val="14"/>
          <w14:ligatures w14:val="none"/>
        </w:rPr>
        <w:t>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doanh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489A47CF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e)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1C1A398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f)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tuyên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bố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tuyên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bố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tuyên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bố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khởi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tố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hôn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ảnh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hưởng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CADDE6D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lastRenderedPageBreak/>
        <w:t>g)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Các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xét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thiết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hồi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53ADE22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h)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Các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thoả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E686C5C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i</w:t>
      </w:r>
      <w:proofErr w:type="spellEnd"/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Trong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coi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711CD21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2.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Các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60F73E4F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a)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Bán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hồi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: Trong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30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phối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uỷ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Trung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tâm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đấu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doanh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đấu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hồi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81E35F1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b)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A081ED8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c)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phần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hai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thoả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493F219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3.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Trong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45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2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uỷ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huỷ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ngang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uỷ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vô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6ABB9AAC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a)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Lựa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đấu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15 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trừ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vắng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mặt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ảnh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hưởng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A29A069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b)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Bán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khởi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do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cứ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Biên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Biên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gần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5%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10%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so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liền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mỗi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9FBB382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c)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Thay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mặt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liệu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..</w:t>
      </w:r>
      <w:proofErr w:type="gramEnd"/>
    </w:p>
    <w:p w14:paraId="78227A7C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d)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Trường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bao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gồm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nhiều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vật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, NGÂN HÀNG 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chọn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cụ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thể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thu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hồi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đủ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số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, bao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gồm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nhưng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giới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là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gốc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lãi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(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trong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quá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),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khoản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phí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chi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phí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phát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sinh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liên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quan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(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)</w:t>
      </w:r>
      <w:proofErr w:type="gram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.</w:t>
      </w:r>
    </w:p>
    <w:p w14:paraId="5DC1D557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4.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Trong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chờ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,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hồi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      </w:t>
      </w:r>
    </w:p>
    <w:p w14:paraId="702252D4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5.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trích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 NGÂN HÀNG bao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gồm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nhưng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giới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thứ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tự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ưu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tiên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như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sau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:</w:t>
      </w:r>
    </w:p>
    <w:p w14:paraId="6FD08241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a)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Chi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2D21DF8A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b)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lãi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quá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;</w:t>
      </w:r>
    </w:p>
    <w:p w14:paraId="07898894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c)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lãi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trong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;</w:t>
      </w:r>
    </w:p>
    <w:p w14:paraId="42494844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d)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gốc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;</w:t>
      </w:r>
    </w:p>
    <w:p w14:paraId="106642E1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e)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Số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tiền</w:t>
      </w:r>
      <w:proofErr w:type="spellEnd"/>
      <w:r w:rsidRPr="00780E1D">
        <w:rPr>
          <w:rFonts w:eastAsia="Times New Roman" w:cs="Times New Roman"/>
          <w:color w:val="000000"/>
          <w:spacing w:val="-4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dư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tục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HÀNG.</w:t>
      </w:r>
    </w:p>
    <w:p w14:paraId="3E2073FA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lastRenderedPageBreak/>
        <w:t>6.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nguyện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bỏ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Toà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hay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vấn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E0E072C" w14:textId="77777777" w:rsidR="00780E1D" w:rsidRPr="00780E1D" w:rsidRDefault="00780E1D" w:rsidP="00780E1D">
      <w:pPr>
        <w:spacing w:before="240" w:after="120" w:line="270" w:lineRule="atLeast"/>
        <w:ind w:left="964" w:hanging="96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7.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Tranh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tranh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chấp</w:t>
      </w:r>
      <w:proofErr w:type="spellEnd"/>
    </w:p>
    <w:p w14:paraId="7B361C84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1.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Trong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tranh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thương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lượng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tinh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thần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tôn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ích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. Trường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thương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lượng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Toà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Toà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Toà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bắt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buộc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5F0E5C4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2.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chỉnh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thích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Việt Nam.</w:t>
      </w:r>
    </w:p>
    <w:p w14:paraId="65AB8D1B" w14:textId="77777777" w:rsidR="00780E1D" w:rsidRPr="00780E1D" w:rsidRDefault="00780E1D" w:rsidP="00780E1D">
      <w:pPr>
        <w:spacing w:before="240" w:after="120" w:line="270" w:lineRule="atLeast"/>
        <w:ind w:left="964" w:hanging="96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8.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Cam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bên</w:t>
      </w:r>
      <w:proofErr w:type="spellEnd"/>
    </w:p>
    <w:p w14:paraId="01513D26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1.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cam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thân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nói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24A38358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a)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phép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Pháp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2FF284B6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b)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Hoàn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thuộc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tranh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05DA12E0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c)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dùng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1A12C18E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d)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kê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biên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5C9819D2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e)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2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2237C72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2.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Các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cam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3669F9D5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a)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hoàn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nguyện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ép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buộc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lừa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dối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cam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đầy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thoả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1AA220BF" w14:textId="77777777" w:rsidR="00780E1D" w:rsidRPr="00780E1D" w:rsidRDefault="00780E1D" w:rsidP="00780E1D">
      <w:pPr>
        <w:spacing w:after="60" w:line="270" w:lineRule="atLeast"/>
        <w:ind w:left="794" w:hanging="39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b)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nghe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hiểu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rõ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ích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hậu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8CEF3FC" w14:textId="77777777" w:rsidR="00780E1D" w:rsidRPr="00780E1D" w:rsidRDefault="00780E1D" w:rsidP="00780E1D">
      <w:pPr>
        <w:spacing w:before="240" w:after="120" w:line="270" w:lineRule="atLeast"/>
        <w:ind w:left="964" w:hanging="96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9.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Hiệu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đồng</w:t>
      </w:r>
      <w:proofErr w:type="spellEnd"/>
    </w:p>
    <w:p w14:paraId="1672F805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1.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Trường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giữa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vốn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doanh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doanh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hệ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doanh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gọi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mô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).</w:t>
      </w:r>
    </w:p>
    <w:p w14:paraId="53A199C1" w14:textId="34D81798" w:rsidR="00780E1D" w:rsidRPr="00780E1D" w:rsidRDefault="00780E1D" w:rsidP="00780E1D">
      <w:pPr>
        <w:spacing w:after="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2.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Trường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 (chia,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tách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)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vẫn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)</w:t>
      </w:r>
      <w:bookmarkStart w:id="3" w:name="_ftnref4"/>
      <w:bookmarkEnd w:id="3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99454F4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3.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). Các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lục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liệu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sửa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bổ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sung,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phần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lastRenderedPageBreak/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kèm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A8C1EA9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4.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Các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vô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vô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. Trong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2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vô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vẫn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C810358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5.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Trường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khẳng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vô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thủ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tục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thoả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vẫn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giữa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C6A51E2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6.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dứt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15D44251" w14:textId="77777777" w:rsidR="00780E1D" w:rsidRPr="00780E1D" w:rsidRDefault="00780E1D" w:rsidP="00780E1D">
      <w:pPr>
        <w:spacing w:after="60" w:line="270" w:lineRule="atLeast"/>
        <w:ind w:left="792" w:hanging="389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a)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hoàn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đầy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0B00D09B" w14:textId="77777777" w:rsidR="00780E1D" w:rsidRPr="00780E1D" w:rsidRDefault="00780E1D" w:rsidP="00780E1D">
      <w:pPr>
        <w:spacing w:after="60" w:line="270" w:lineRule="atLeast"/>
        <w:ind w:left="792" w:hanging="389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b)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Các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thoả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394F801C" w14:textId="77777777" w:rsidR="00780E1D" w:rsidRPr="00780E1D" w:rsidRDefault="00780E1D" w:rsidP="00780E1D">
      <w:pPr>
        <w:spacing w:after="60" w:line="270" w:lineRule="atLeast"/>
        <w:ind w:left="792" w:hanging="389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c)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Tài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hồi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9F275AF" w14:textId="77777777" w:rsidR="00780E1D" w:rsidRPr="00780E1D" w:rsidRDefault="00780E1D" w:rsidP="00780E1D">
      <w:pPr>
        <w:spacing w:after="60" w:line="270" w:lineRule="atLeast"/>
        <w:ind w:left="792" w:hanging="389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d)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Các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thoả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599874D" w14:textId="77777777" w:rsidR="00780E1D" w:rsidRPr="00780E1D" w:rsidRDefault="00780E1D" w:rsidP="00780E1D">
      <w:pPr>
        <w:spacing w:before="240" w:after="120" w:line="270" w:lineRule="atLeast"/>
        <w:ind w:left="964" w:hanging="96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10.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thi</w:t>
      </w:r>
      <w:proofErr w:type="spellEnd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hành</w:t>
      </w:r>
      <w:proofErr w:type="spellEnd"/>
    </w:p>
    <w:p w14:paraId="0DE86ED1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1.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vấn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thoả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Pháp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8EFF33C" w14:textId="77777777" w:rsidR="00780E1D" w:rsidRPr="00780E1D" w:rsidRDefault="00780E1D" w:rsidP="00780E1D">
      <w:pPr>
        <w:spacing w:after="60" w:line="270" w:lineRule="atLeast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2.</w:t>
      </w:r>
      <w:r w:rsidRPr="00780E1D">
        <w:rPr>
          <w:rFonts w:eastAsia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05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: NGÂN HÀNG 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02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01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gửi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01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),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gửi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01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).</w:t>
      </w:r>
    </w:p>
    <w:p w14:paraId="18531E30" w14:textId="77777777" w:rsidR="00780E1D" w:rsidRPr="00780E1D" w:rsidRDefault="00780E1D" w:rsidP="00780E1D">
      <w:pPr>
        <w:spacing w:after="60" w:line="270" w:lineRule="atLeast"/>
        <w:ind w:left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7B9E5AA" w14:textId="77777777" w:rsidR="00780E1D" w:rsidRPr="00780E1D" w:rsidRDefault="00780E1D" w:rsidP="00780E1D">
      <w:pPr>
        <w:spacing w:after="120" w:line="27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1418"/>
        <w:gridCol w:w="3509"/>
      </w:tblGrid>
      <w:tr w:rsidR="00780E1D" w:rsidRPr="00780E1D" w14:paraId="2957F051" w14:textId="77777777" w:rsidTr="00780E1D">
        <w:trPr>
          <w:jc w:val="center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7683" w14:textId="77777777" w:rsidR="00780E1D" w:rsidRPr="00780E1D" w:rsidRDefault="00780E1D" w:rsidP="00780E1D">
            <w:pPr>
              <w:spacing w:after="0" w:line="270" w:lineRule="atLeast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80E1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BÊN THẾ CHẤP</w:t>
            </w:r>
          </w:p>
          <w:p w14:paraId="104B4B92" w14:textId="77777777" w:rsidR="00780E1D" w:rsidRPr="00780E1D" w:rsidRDefault="00780E1D" w:rsidP="00780E1D">
            <w:pPr>
              <w:spacing w:after="0" w:line="270" w:lineRule="atLeast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rõ</w:t>
            </w:r>
            <w:proofErr w:type="spellEnd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họ</w:t>
            </w:r>
            <w:proofErr w:type="spellEnd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đóng</w:t>
            </w:r>
            <w:proofErr w:type="spellEnd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dấu</w:t>
            </w:r>
            <w:proofErr w:type="spellEnd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nếu</w:t>
            </w:r>
            <w:proofErr w:type="spellEnd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DA8F" w14:textId="77777777" w:rsidR="00780E1D" w:rsidRPr="00780E1D" w:rsidRDefault="00780E1D" w:rsidP="00780E1D">
            <w:pPr>
              <w:spacing w:after="0" w:line="270" w:lineRule="atLeast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80E1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7477" w14:textId="77777777" w:rsidR="00780E1D" w:rsidRPr="00780E1D" w:rsidRDefault="00780E1D" w:rsidP="00780E1D">
            <w:pPr>
              <w:spacing w:after="0" w:line="270" w:lineRule="atLeast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80E1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BÊN NHẬN THẾ CHẤP</w:t>
            </w:r>
          </w:p>
          <w:p w14:paraId="0107F53E" w14:textId="77777777" w:rsidR="00780E1D" w:rsidRPr="00780E1D" w:rsidRDefault="00780E1D" w:rsidP="00780E1D">
            <w:pPr>
              <w:spacing w:after="0" w:line="270" w:lineRule="atLeast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đóng</w:t>
            </w:r>
            <w:proofErr w:type="spellEnd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dấu</w:t>
            </w:r>
            <w:proofErr w:type="spellEnd"/>
            <w:r w:rsidRPr="00780E1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)</w:t>
            </w:r>
          </w:p>
        </w:tc>
      </w:tr>
    </w:tbl>
    <w:p w14:paraId="2DAB0E06" w14:textId="77777777" w:rsidR="00780E1D" w:rsidRPr="00780E1D" w:rsidRDefault="00780E1D" w:rsidP="00780E1D">
      <w:pPr>
        <w:spacing w:after="60" w:line="270" w:lineRule="atLeast"/>
        <w:ind w:firstLine="72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80E1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179B1239" w14:textId="77777777" w:rsidR="00363BFE" w:rsidRDefault="00363BFE"/>
    <w:sectPr w:rsidR="00363BFE" w:rsidSect="00D11953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1D"/>
    <w:rsid w:val="00363BFE"/>
    <w:rsid w:val="00780E1D"/>
    <w:rsid w:val="00D035B1"/>
    <w:rsid w:val="00D1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1F4E4"/>
  <w15:chartTrackingRefBased/>
  <w15:docId w15:val="{30CAAE0D-9D54-4131-8DF3-80DC5F4E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0E1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0E1D"/>
    <w:rPr>
      <w:rFonts w:eastAsia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80E1D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80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3100</Words>
  <Characters>17676</Characters>
  <Application>Microsoft Office Word</Application>
  <DocSecurity>0</DocSecurity>
  <Lines>147</Lines>
  <Paragraphs>41</Paragraphs>
  <ScaleCrop>false</ScaleCrop>
  <Company/>
  <LinksUpToDate>false</LinksUpToDate>
  <CharactersWithSpaces>20735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2024-01-31T08:06:00Z</dcterms:created>
  <dcterms:modified xsi:type="dcterms:W3CDTF">2024-01-31T08:08:00Z</dcterms:modified>
</cp:coreProperties>
</file>