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74" w:rsidRPr="009C5A74" w:rsidRDefault="009C5A74" w:rsidP="009C5A74">
      <w:pPr>
        <w:shd w:val="clear" w:color="auto" w:fill="FFFFFF"/>
        <w:spacing w:line="375" w:lineRule="atLeast"/>
        <w:jc w:val="center"/>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CỘNG HÒA XÃ HỘI CHỦ NGHĨA VIỆT NAM</w:t>
      </w:r>
    </w:p>
    <w:p w:rsidR="009C5A74" w:rsidRPr="009C5A74" w:rsidRDefault="009C5A74" w:rsidP="009C5A74">
      <w:pPr>
        <w:shd w:val="clear" w:color="auto" w:fill="FFFFFF"/>
        <w:spacing w:line="375" w:lineRule="atLeast"/>
        <w:jc w:val="center"/>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Độc lập - Tự do - Hạnh phúc</w:t>
      </w:r>
    </w:p>
    <w:p w:rsidR="009C5A74" w:rsidRPr="009C5A74" w:rsidRDefault="009C5A74" w:rsidP="009C5A74">
      <w:pPr>
        <w:shd w:val="clear" w:color="auto" w:fill="FFFFFF"/>
        <w:spacing w:line="375" w:lineRule="atLeast"/>
        <w:jc w:val="center"/>
        <w:textAlignment w:val="baseline"/>
        <w:rPr>
          <w:rFonts w:ascii="Arial" w:eastAsia="Times New Roman" w:hAnsi="Arial" w:cs="Arial"/>
          <w:color w:val="000000"/>
          <w:szCs w:val="24"/>
        </w:rPr>
      </w:pPr>
    </w:p>
    <w:p w:rsidR="009C5A74" w:rsidRPr="009C5A74" w:rsidRDefault="009C5A74" w:rsidP="009C5A74">
      <w:pPr>
        <w:shd w:val="clear" w:color="auto" w:fill="FFFFFF"/>
        <w:spacing w:line="375" w:lineRule="atLeast"/>
        <w:jc w:val="center"/>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HỢP ĐỒNG ỦY THÁC ĐẦU TƯ</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Số: ..../20.../HĐUTĐT</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Căn cứ vào Bộ luật dân sự năm 2015;</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Căn cứ vào Luật Thương mại năm 2005 sửa đổi, bổ sung năm 2017, 2019;</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Căn cứ vào Luật Đầu tư năm 2020; </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Căn cứ vào Luật Doanh nghiệp năm 2020;</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Căn cứ vào nhu cầu và khả năng của mỗi bên và sự thỏa thuận đạt được giữa hai bên.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Chúng tôi gồm có:</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BÊN ỦY THÁC ĐẦU TƯ (BÊN A)</w:t>
      </w:r>
      <w:r w:rsidRPr="009C5A74">
        <w:rPr>
          <w:rFonts w:ascii="Arial" w:eastAsia="Times New Roman" w:hAnsi="Arial" w:cs="Arial"/>
          <w:color w:val="000000"/>
          <w:szCs w:val="24"/>
        </w:rPr>
        <w:t>: Ông Nguyễn Văn A</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CMND/CCCD số: 0123456xx cấp ngày 23/12/2015 tại Công an Tỉnh 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Địa chỉ thường trú: Số 36 phường Đề Thám, Thành phố X, Tỉnh 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Điện thoại: 0397568xxx</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Tài khoản số: 123456xxxx mở tại Ngân hàng Vietcombank chi nhánh Thành phố X</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BÊN NHẬN ỦY THÁC ĐẦU TƯ (BÊN B):</w:t>
      </w:r>
      <w:r w:rsidRPr="009C5A74">
        <w:rPr>
          <w:rFonts w:ascii="Arial" w:eastAsia="Times New Roman" w:hAnsi="Arial" w:cs="Arial"/>
          <w:color w:val="000000"/>
          <w:szCs w:val="24"/>
        </w:rPr>
        <w:t> Công ty cổ phần Lottle FLC</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Mã số thuế: 06789102xxx do Phòng Đăng ký kinh doanh - Sở Kế hoạch và Đầu tư Tỉnh Y cấp lần đầu ngày 23/4/2016</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Địa chỉ trụ sở chính: Số 116 đường Lý Thường Kiệt, Phường Quang Trung, Thành phố X, Tỉnh 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xml:space="preserve">Người đại diện: Ông Phạm Văn B                                        </w:t>
      </w:r>
      <w:r w:rsidR="002035EC">
        <w:rPr>
          <w:rFonts w:ascii="Arial" w:eastAsia="Times New Roman" w:hAnsi="Arial" w:cs="Arial"/>
          <w:color w:val="000000"/>
          <w:szCs w:val="24"/>
        </w:rPr>
        <w:t xml:space="preserve">        Chức danh: </w:t>
      </w:r>
      <w:bookmarkStart w:id="0" w:name="_GoBack"/>
      <w:bookmarkEnd w:id="0"/>
      <w:r w:rsidRPr="009C5A74">
        <w:rPr>
          <w:rFonts w:ascii="Arial" w:eastAsia="Times New Roman" w:hAnsi="Arial" w:cs="Arial"/>
          <w:color w:val="000000"/>
          <w:szCs w:val="24"/>
        </w:rPr>
        <w:t>Giám đốc</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CMND/CCCD: 0134567xx cấp ngày 14/03/2014 tại Công an Tỉnh 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Địa chỉ thường trú: Số 72 đường Lê Lợi, Phường Trần Hưng Đạo, Thành phồ X, Tỉnh 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Tài khoản số: 178965xxxx mở tại Ngân hàng Vietcombank chi nhánh Thành phố X</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Hai bên cùng thỏa thuận ký kết hợp đồng Ủy thác đầu tư với các điều khoản như sau:</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Điều 1. Nội dung công việc hợp đồng ủy thác đầu tư</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1.1. Bên A ủy thác cho Bên B thực hiện hoạt động đầu tư vào dự án xây dựng FLC Premier Parc do Bên B là chủ đầu tư. Dự án xây dựng này có vị trí tại Đường DT70, Phường Đại Mỗ, Quận Nam Từ Liêm, Hà Nội.</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1.2. Số tiền ủy thác đầu tư là: 500.000.000 đồng (Bằng chữ: Năm trăm triệu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1.3. Thời hạn ủy thác đầu tư: 12 tháng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Từ ngày ..../...../20.... đến ngày ..../...../20....</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Điều 2. Phân chia lợi nhuận và cách thức thanh toán hợp đồng ủy thác đầu tư</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lastRenderedPageBreak/>
        <w:t>2.1. Phân chia lợi nhuận: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Lợi nhuận sẽ được phân chia hàng tháng nếu tháng đó có lợi nhuận. Bên A sẽ được hưởng 90% và bên B được hưởng 10% lợi nhuận. Lợi nhuận hàng tháng được chia vào ngày cuối tháng. </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Trong trường hợp rủi ro, tháng nào bị lỗ thì số lỗ đó được dùng để trừ vào lợi nhuận tháng sau. Phần lợi nhuận còn lại của tháng sau đó mới được dùng để phân chia lợi nhuận cho các bên.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Lợi nhuận sau khi đã được chia cho Bên B thì sẽ hoàn toàn thuộc về Bên B. Trong trường hợp rủi ro, tài khoản sau đó nếu có bị lỗ thì Bên B cũng không phải bỏ số tiền lợi nhuận đã chia trước đó để bù số lỗ sau này.</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2.2. Phương thức thanh toán: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Hình thức thanh toán: Thanh toán bằng tiền mặt hoặc chuyển khoản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Đồng tiền thanh toán: Việt Nam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Điều 3. Quyền và nghĩa vụ các bên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3.1. Quyền và nghĩa vụ của Bên A:</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Yêu cầu Bên B cung cấp tài liệu về quyền được nhận ủy thác đầu tư.</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Giám sát kiểm tra Bên B thực hiện hợp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Yêu cầu Bên B cung cấp thông tin về việc thực hiện hợp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Nghĩa vụ thanh toán chi phí ủy thác cho Bên B theo quy định tại hợp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Chuyển vốn cho Bên B như thỏa thuận.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3.2. Quyền và nghĩa vụ của Bên B:</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Được nhận chi phí ủy thác theo thỏa thuận.</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Từ chối yêu cầu của Bên A nếu vi phạm quy định của pháp luật.</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Yêu cầu Bên A cung cấp các tài liệu cần thiết để thực hiện hoạt động.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Thực hiện đúng nội dung cam kết trong hợp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 Thông báo kịp thời nội dung thực hiện hoạt động đầu tư cho Bên A.</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Điều 4. Phương thức giải quyết tranh chấp</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Hai bên cam kết thực hiện đúng và đầy đủ những điều khoản được ghi trong hợp đồng ủy thác đầu tư.</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Mọi tranh chấp phát sinh từ hợp đồng này được giải quyết trên cơ sở thương lượng và hòa giải. Trường hợp thương lượng và hòa giải không thành, hai bên có thể giải quyết theo quy định của pháp luật Việt Nam.</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Điều 5. Hiệu lực hợp đồng</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t>Hợp đồng này có hiệu lực kể từ ngày ký.</w:t>
      </w:r>
    </w:p>
    <w:p w:rsidR="009C5A74" w:rsidRPr="009C5A74" w:rsidRDefault="009C5A74" w:rsidP="009C5A74">
      <w:pPr>
        <w:shd w:val="clear" w:color="auto" w:fill="FFFFFF"/>
        <w:spacing w:line="375" w:lineRule="atLeast"/>
        <w:textAlignment w:val="baseline"/>
        <w:rPr>
          <w:rFonts w:ascii="Arial" w:eastAsia="Times New Roman" w:hAnsi="Arial" w:cs="Arial"/>
          <w:color w:val="000000"/>
          <w:szCs w:val="24"/>
        </w:rPr>
      </w:pPr>
      <w:r w:rsidRPr="009C5A74">
        <w:rPr>
          <w:rFonts w:ascii="Arial" w:eastAsia="Times New Roman" w:hAnsi="Arial" w:cs="Arial"/>
          <w:color w:val="000000"/>
          <w:szCs w:val="24"/>
        </w:rPr>
        <w:lastRenderedPageBreak/>
        <w:t>Hợp đồng này được lập thành hai (02) bản có giá trị pháp lý như nhau, mỗi bên giữ một (01) bản.</w:t>
      </w:r>
    </w:p>
    <w:p w:rsidR="009C5A74" w:rsidRDefault="009C5A74" w:rsidP="009C5A74">
      <w:pPr>
        <w:shd w:val="clear" w:color="auto" w:fill="FFFFFF"/>
        <w:spacing w:line="375" w:lineRule="atLeast"/>
        <w:ind w:firstLine="5387"/>
        <w:textAlignment w:val="baseline"/>
        <w:rPr>
          <w:rFonts w:ascii="inherit" w:eastAsia="Times New Roman" w:hAnsi="inherit" w:cs="Arial"/>
          <w:i/>
          <w:iCs/>
          <w:color w:val="000000"/>
          <w:szCs w:val="24"/>
          <w:bdr w:val="none" w:sz="0" w:space="0" w:color="auto" w:frame="1"/>
        </w:rPr>
      </w:pPr>
      <w:r w:rsidRPr="009C5A74">
        <w:rPr>
          <w:rFonts w:ascii="inherit" w:eastAsia="Times New Roman" w:hAnsi="inherit" w:cs="Arial"/>
          <w:i/>
          <w:iCs/>
          <w:color w:val="000000"/>
          <w:szCs w:val="24"/>
          <w:bdr w:val="none" w:sz="0" w:space="0" w:color="auto" w:frame="1"/>
        </w:rPr>
        <w:t>Tỉnh Y, ngày ... tháng ... năm 20...</w:t>
      </w:r>
    </w:p>
    <w:p w:rsidR="009C5A74" w:rsidRPr="009C5A74" w:rsidRDefault="009C5A74" w:rsidP="009C5A74">
      <w:pPr>
        <w:shd w:val="clear" w:color="auto" w:fill="FFFFFF"/>
        <w:spacing w:line="375" w:lineRule="atLeast"/>
        <w:ind w:firstLine="5387"/>
        <w:textAlignment w:val="baseline"/>
        <w:rPr>
          <w:rFonts w:ascii="Arial" w:eastAsia="Times New Roman" w:hAnsi="Arial" w:cs="Arial"/>
          <w:color w:val="000000"/>
          <w:szCs w:val="24"/>
        </w:rPr>
      </w:pPr>
    </w:p>
    <w:tbl>
      <w:tblPr>
        <w:tblW w:w="12957" w:type="dxa"/>
        <w:tblInd w:w="-859" w:type="dxa"/>
        <w:shd w:val="clear" w:color="auto" w:fill="FFFFFF"/>
        <w:tblCellMar>
          <w:left w:w="0" w:type="dxa"/>
          <w:right w:w="0" w:type="dxa"/>
        </w:tblCellMar>
        <w:tblLook w:val="04A0" w:firstRow="1" w:lastRow="0" w:firstColumn="1" w:lastColumn="0" w:noHBand="0" w:noVBand="1"/>
      </w:tblPr>
      <w:tblGrid>
        <w:gridCol w:w="7088"/>
        <w:gridCol w:w="5869"/>
      </w:tblGrid>
      <w:tr w:rsidR="009C5A74" w:rsidRPr="009C5A74" w:rsidTr="009C5A74">
        <w:tc>
          <w:tcPr>
            <w:tcW w:w="708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C5A74" w:rsidRPr="009C5A74" w:rsidRDefault="009C5A74" w:rsidP="009C5A74">
            <w:pPr>
              <w:spacing w:line="240" w:lineRule="auto"/>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Đại diện Bên 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C5A74" w:rsidRPr="009C5A74" w:rsidRDefault="009C5A74" w:rsidP="009C5A74">
            <w:pPr>
              <w:spacing w:line="240" w:lineRule="auto"/>
              <w:rPr>
                <w:rFonts w:ascii="Arial" w:eastAsia="Times New Roman" w:hAnsi="Arial" w:cs="Arial"/>
                <w:color w:val="000000"/>
                <w:szCs w:val="24"/>
              </w:rPr>
            </w:pPr>
            <w:r w:rsidRPr="009C5A74">
              <w:rPr>
                <w:rFonts w:ascii="inherit" w:eastAsia="Times New Roman" w:hAnsi="inherit" w:cs="Arial"/>
                <w:b/>
                <w:bCs/>
                <w:color w:val="000000"/>
                <w:szCs w:val="24"/>
                <w:bdr w:val="none" w:sz="0" w:space="0" w:color="auto" w:frame="1"/>
              </w:rPr>
              <w:t>Đại diện Bên B</w:t>
            </w:r>
          </w:p>
        </w:tc>
      </w:tr>
      <w:tr w:rsidR="009C5A74" w:rsidRPr="009C5A74" w:rsidTr="009C5A74">
        <w:tc>
          <w:tcPr>
            <w:tcW w:w="708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C5A74" w:rsidRPr="009C5A74" w:rsidRDefault="009C5A74" w:rsidP="009C5A74">
            <w:pPr>
              <w:spacing w:line="375" w:lineRule="atLeast"/>
              <w:ind w:firstLine="250"/>
              <w:textAlignment w:val="baseline"/>
              <w:rPr>
                <w:rFonts w:ascii="inherit" w:eastAsia="Times New Roman" w:hAnsi="inherit" w:cs="Arial"/>
                <w:color w:val="000000"/>
                <w:szCs w:val="24"/>
              </w:rPr>
            </w:pPr>
            <w:r w:rsidRPr="009C5A74">
              <w:rPr>
                <w:rFonts w:ascii="inherit" w:eastAsia="Times New Roman" w:hAnsi="inherit" w:cs="Arial"/>
                <w:color w:val="000000"/>
                <w:szCs w:val="24"/>
              </w:rPr>
              <w:t>A</w:t>
            </w:r>
          </w:p>
          <w:p w:rsidR="009C5A74" w:rsidRPr="009C5A74" w:rsidRDefault="009C5A74" w:rsidP="009C5A74">
            <w:pPr>
              <w:spacing w:line="375" w:lineRule="atLeast"/>
              <w:textAlignment w:val="baseline"/>
              <w:rPr>
                <w:rFonts w:ascii="inherit" w:eastAsia="Times New Roman" w:hAnsi="inherit" w:cs="Arial"/>
                <w:color w:val="000000"/>
                <w:szCs w:val="24"/>
              </w:rPr>
            </w:pPr>
            <w:r w:rsidRPr="009C5A74">
              <w:rPr>
                <w:rFonts w:ascii="inherit" w:eastAsia="Times New Roman" w:hAnsi="inherit" w:cs="Arial"/>
                <w:color w:val="000000"/>
                <w:szCs w:val="24"/>
              </w:rPr>
              <w:t>Nguyễn Văn A</w:t>
            </w:r>
          </w:p>
        </w:tc>
        <w:tc>
          <w:tcPr>
            <w:tcW w:w="586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C5A74" w:rsidRPr="009C5A74" w:rsidRDefault="009C5A74" w:rsidP="009C5A74">
            <w:pPr>
              <w:spacing w:line="375" w:lineRule="atLeast"/>
              <w:textAlignment w:val="baseline"/>
              <w:rPr>
                <w:rFonts w:ascii="inherit" w:eastAsia="Times New Roman" w:hAnsi="inherit" w:cs="Arial"/>
                <w:color w:val="000000"/>
                <w:szCs w:val="24"/>
              </w:rPr>
            </w:pPr>
            <w:r w:rsidRPr="009C5A74">
              <w:rPr>
                <w:rFonts w:ascii="inherit" w:eastAsia="Times New Roman" w:hAnsi="inherit" w:cs="Arial"/>
                <w:color w:val="000000"/>
                <w:szCs w:val="24"/>
              </w:rPr>
              <w:t>B</w:t>
            </w:r>
          </w:p>
          <w:p w:rsidR="009C5A74" w:rsidRPr="009C5A74" w:rsidRDefault="009C5A74" w:rsidP="009C5A74">
            <w:pPr>
              <w:spacing w:line="375" w:lineRule="atLeast"/>
              <w:textAlignment w:val="baseline"/>
              <w:rPr>
                <w:rFonts w:ascii="inherit" w:eastAsia="Times New Roman" w:hAnsi="inherit" w:cs="Arial"/>
                <w:color w:val="000000"/>
                <w:szCs w:val="24"/>
              </w:rPr>
            </w:pPr>
            <w:r w:rsidRPr="009C5A74">
              <w:rPr>
                <w:rFonts w:ascii="inherit" w:eastAsia="Times New Roman" w:hAnsi="inherit" w:cs="Arial"/>
                <w:color w:val="000000"/>
                <w:szCs w:val="24"/>
              </w:rPr>
              <w:t>Phạm Văn B</w:t>
            </w:r>
          </w:p>
        </w:tc>
      </w:tr>
    </w:tbl>
    <w:p w:rsidR="008A2033" w:rsidRDefault="008A2033" w:rsidP="009C5A74"/>
    <w:sectPr w:rsidR="008A2033" w:rsidSect="009C5A74">
      <w:pgSz w:w="12240" w:h="15840"/>
      <w:pgMar w:top="1134" w:right="1185" w:bottom="1418"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74"/>
    <w:rsid w:val="00021C68"/>
    <w:rsid w:val="002035EC"/>
    <w:rsid w:val="008A2033"/>
    <w:rsid w:val="009C5A74"/>
    <w:rsid w:val="00F9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1268"/>
  <w15:chartTrackingRefBased/>
  <w15:docId w15:val="{8521C803-42BB-41BB-8141-DE0F8715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A7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C5A74"/>
    <w:rPr>
      <w:b/>
      <w:bCs/>
    </w:rPr>
  </w:style>
  <w:style w:type="character" w:styleId="Emphasis">
    <w:name w:val="Emphasis"/>
    <w:basedOn w:val="DefaultParagraphFont"/>
    <w:uiPriority w:val="20"/>
    <w:qFormat/>
    <w:rsid w:val="009C5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2024-04-30T09:08:00Z</dcterms:created>
  <dcterms:modified xsi:type="dcterms:W3CDTF">2024-04-30T13:15:00Z</dcterms:modified>
</cp:coreProperties>
</file>