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CỘNG HÒA XÃ HỘI CHỦ NGHĨA VIỆT NAM</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Độc lập – Tự do – Hạnh phúc</w:t>
      </w:r>
    </w:p>
    <w:p w:rsidR="008A7E4B" w:rsidRPr="008A7E4B" w:rsidRDefault="008A7E4B" w:rsidP="008A7E4B">
      <w:pPr>
        <w:shd w:val="clear" w:color="auto" w:fill="FFFFFE"/>
        <w:spacing w:after="312"/>
        <w:rPr>
          <w:rFonts w:ascii="Arial" w:eastAsia="Times New Roman" w:hAnsi="Arial" w:cs="Arial"/>
          <w:color w:val="808080"/>
          <w:sz w:val="23"/>
          <w:szCs w:val="23"/>
        </w:rPr>
      </w:pPr>
      <w:bookmarkStart w:id="0" w:name="_GoBack"/>
      <w:bookmarkEnd w:id="0"/>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HỢP ĐỒNG MUA BÁN ĐIỆN PHỤC VỤ SẢN XUẤT</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Hôm nay, ngày [Ngày tháng năm] tại [Địa điểm],</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Chúng tôi, gồm:</w:t>
      </w:r>
    </w:p>
    <w:p w:rsidR="008A7E4B" w:rsidRPr="008A7E4B" w:rsidRDefault="008A7E4B" w:rsidP="008A7E4B">
      <w:pPr>
        <w:numPr>
          <w:ilvl w:val="0"/>
          <w:numId w:val="24"/>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Bên bán điện:</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[Tên đầy đủ] (Công ty điện lực)</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Địa chỉ: [Địa chỉ]</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Số điện thoại: [Số điện thoại]</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Email: [Email]</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Đại diện theo pháp luật: [Họ tên], chức vụ [Chức vụ]</w:t>
      </w:r>
    </w:p>
    <w:p w:rsidR="008A7E4B" w:rsidRPr="008A7E4B" w:rsidRDefault="008A7E4B" w:rsidP="008A7E4B">
      <w:pPr>
        <w:numPr>
          <w:ilvl w:val="0"/>
          <w:numId w:val="24"/>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Bên mua điện:</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[Tên đầy đủ] (Doanh nghiệp sản xuất)</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Địa chỉ: [Địa chỉ]</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Số điện thoại: [Số điện thoại]</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Email: [Email]</w:t>
      </w:r>
    </w:p>
    <w:p w:rsidR="008A7E4B" w:rsidRPr="008A7E4B" w:rsidRDefault="008A7E4B" w:rsidP="008A7E4B">
      <w:pPr>
        <w:numPr>
          <w:ilvl w:val="1"/>
          <w:numId w:val="24"/>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Đại diện theo pháp luật: [Họ tên], chức vụ [Chức vụ]</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Căn cứ vào nhu cầu sử dụng điện của Bên mua điện và khả năng cung cấp điện của Bên bán điện, hai bên thống nhất ký kết hợp đồng này với các điều khoản sau đây:</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1: Mục đích hợp đồng</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color w:val="808080"/>
          <w:sz w:val="23"/>
          <w:szCs w:val="23"/>
        </w:rPr>
        <w:t>Hợp đồng này nhằm mục đích Bên bán điện cung cấp điện và Bên mua điện mua điện phục vụ cho hoạt động sản xuất của Bên mua điện.</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2: Thời hạn hợp đồng</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color w:val="808080"/>
          <w:sz w:val="23"/>
          <w:szCs w:val="23"/>
        </w:rPr>
        <w:t>Hợp đồng này có hiệu lực từ ngày [Ngày tháng năm] đến ngày [Ngày tháng năm].</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3: Loại điện và công suất</w:t>
      </w:r>
    </w:p>
    <w:p w:rsidR="008A7E4B" w:rsidRPr="008A7E4B" w:rsidRDefault="008A7E4B" w:rsidP="008A7E4B">
      <w:pPr>
        <w:numPr>
          <w:ilvl w:val="0"/>
          <w:numId w:val="25"/>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Loại điện:</w:t>
      </w:r>
      <w:r w:rsidRPr="008A7E4B">
        <w:rPr>
          <w:rFonts w:ascii="Arial" w:eastAsia="Times New Roman" w:hAnsi="Arial" w:cs="Arial"/>
          <w:color w:val="808080"/>
          <w:sz w:val="23"/>
          <w:szCs w:val="23"/>
        </w:rPr>
        <w:t> [Loại điện]</w:t>
      </w:r>
    </w:p>
    <w:p w:rsidR="008A7E4B" w:rsidRPr="008A7E4B" w:rsidRDefault="008A7E4B" w:rsidP="008A7E4B">
      <w:pPr>
        <w:numPr>
          <w:ilvl w:val="0"/>
          <w:numId w:val="25"/>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lastRenderedPageBreak/>
        <w:t>Công suất:</w:t>
      </w:r>
      <w:r w:rsidRPr="008A7E4B">
        <w:rPr>
          <w:rFonts w:ascii="Arial" w:eastAsia="Times New Roman" w:hAnsi="Arial" w:cs="Arial"/>
          <w:color w:val="808080"/>
          <w:sz w:val="23"/>
          <w:szCs w:val="23"/>
        </w:rPr>
        <w:t> [Công suất] kW</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4: Giá điện và hình thức thanh toán</w:t>
      </w:r>
    </w:p>
    <w:p w:rsidR="008A7E4B" w:rsidRPr="008A7E4B" w:rsidRDefault="008A7E4B" w:rsidP="008A7E4B">
      <w:pPr>
        <w:numPr>
          <w:ilvl w:val="0"/>
          <w:numId w:val="26"/>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Giá điện:</w:t>
      </w:r>
    </w:p>
    <w:p w:rsidR="008A7E4B" w:rsidRPr="008A7E4B" w:rsidRDefault="008A7E4B" w:rsidP="008A7E4B">
      <w:pPr>
        <w:numPr>
          <w:ilvl w:val="1"/>
          <w:numId w:val="26"/>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Giá điện áp dụng cho hợp đồng này là giá điện theo quy định của Nhà nước tại thời điểm thực hiện hợp đồng.</w:t>
      </w:r>
    </w:p>
    <w:p w:rsidR="008A7E4B" w:rsidRPr="008A7E4B" w:rsidRDefault="008A7E4B" w:rsidP="008A7E4B">
      <w:pPr>
        <w:numPr>
          <w:ilvl w:val="1"/>
          <w:numId w:val="26"/>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Bên bán điện có trách nhiệm thông báo cho Bên mua điện về sự thay đổi giá điện theo quy định của Nhà nước.</w:t>
      </w:r>
    </w:p>
    <w:p w:rsidR="008A7E4B" w:rsidRPr="008A7E4B" w:rsidRDefault="008A7E4B" w:rsidP="008A7E4B">
      <w:pPr>
        <w:numPr>
          <w:ilvl w:val="0"/>
          <w:numId w:val="26"/>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Hình thức thanh toán:</w:t>
      </w:r>
    </w:p>
    <w:p w:rsidR="008A7E4B" w:rsidRPr="008A7E4B" w:rsidRDefault="008A7E4B" w:rsidP="008A7E4B">
      <w:pPr>
        <w:numPr>
          <w:ilvl w:val="1"/>
          <w:numId w:val="26"/>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Thanh toán tiền điện theo hình thức [Hình thức thanh toán].</w:t>
      </w:r>
    </w:p>
    <w:p w:rsidR="008A7E4B" w:rsidRPr="008A7E4B" w:rsidRDefault="008A7E4B" w:rsidP="008A7E4B">
      <w:pPr>
        <w:numPr>
          <w:ilvl w:val="1"/>
          <w:numId w:val="26"/>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Bên mua điện có trách nhiệm thanh toán tiền điện cho Bên bán điện theo đúng thời hạn và quy định trong hợp đồng này.</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5: Quyền lợi và nghĩa vụ của các bên</w:t>
      </w:r>
    </w:p>
    <w:p w:rsidR="008A7E4B" w:rsidRPr="008A7E4B" w:rsidRDefault="008A7E4B" w:rsidP="008A7E4B">
      <w:pPr>
        <w:numPr>
          <w:ilvl w:val="0"/>
          <w:numId w:val="27"/>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Quyền lợi của Bên mua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Được cung cấp điện đầy đủ, liên tục theo đúng công suất và chất lượng cam kết trong hợp đồng.</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Được thông báo về các sự cố, gián đoạn cung cấp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Được hưởng các ưu đãi theo quy định của Nhà nước.</w:t>
      </w:r>
    </w:p>
    <w:p w:rsidR="008A7E4B" w:rsidRPr="008A7E4B" w:rsidRDefault="008A7E4B" w:rsidP="008A7E4B">
      <w:pPr>
        <w:numPr>
          <w:ilvl w:val="0"/>
          <w:numId w:val="27"/>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Nghĩa vụ của Bên mua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Thanh toán tiền điện đầy đủ và đúng hạn.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Sử dụng điện an toàn, tiết kiệm và hiệu quả.</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Tuân thủ các quy định về sử dụng điện của Nhà nước.</w:t>
      </w:r>
    </w:p>
    <w:p w:rsidR="008A7E4B" w:rsidRPr="008A7E4B" w:rsidRDefault="008A7E4B" w:rsidP="008A7E4B">
      <w:pPr>
        <w:numPr>
          <w:ilvl w:val="0"/>
          <w:numId w:val="27"/>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Quyền lợi của Bên bán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Nhận thanh toán tiền điện đầy đủ và đúng hạn.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Được yêu cầu Bên mua điện thực hiện các biện pháp an toàn, tiết kiệm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Được hưởng các ưu đãi theo quy định của Nhà nước.</w:t>
      </w:r>
    </w:p>
    <w:p w:rsidR="008A7E4B" w:rsidRPr="008A7E4B" w:rsidRDefault="008A7E4B" w:rsidP="008A7E4B">
      <w:pPr>
        <w:numPr>
          <w:ilvl w:val="0"/>
          <w:numId w:val="27"/>
        </w:numPr>
        <w:shd w:val="clear" w:color="auto" w:fill="FFFFFE"/>
        <w:spacing w:before="100" w:beforeAutospacing="1" w:after="144"/>
        <w:ind w:left="612"/>
        <w:rPr>
          <w:rFonts w:ascii="Arial" w:eastAsia="Times New Roman" w:hAnsi="Arial" w:cs="Arial"/>
          <w:color w:val="808080"/>
          <w:sz w:val="23"/>
          <w:szCs w:val="23"/>
        </w:rPr>
      </w:pPr>
      <w:r w:rsidRPr="008A7E4B">
        <w:rPr>
          <w:rFonts w:ascii="Arial" w:eastAsia="Times New Roman" w:hAnsi="Arial" w:cs="Arial"/>
          <w:b/>
          <w:bCs/>
          <w:color w:val="808080"/>
          <w:sz w:val="23"/>
          <w:szCs w:val="23"/>
        </w:rPr>
        <w:t>Nghĩa vụ của Bên bán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Cung cấp điện đầy đủ, liên tục theo đúng công suất và chất lượng cam kết trong hợp đồng.</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Thông báo cho Bên mua điện về các sự cố, gián đoạn cung cấp điện.</w:t>
      </w:r>
    </w:p>
    <w:p w:rsidR="008A7E4B" w:rsidRPr="008A7E4B" w:rsidRDefault="008A7E4B" w:rsidP="008A7E4B">
      <w:pPr>
        <w:numPr>
          <w:ilvl w:val="1"/>
          <w:numId w:val="27"/>
        </w:numPr>
        <w:shd w:val="clear" w:color="auto" w:fill="FFFFFE"/>
        <w:spacing w:before="100" w:beforeAutospacing="1" w:after="144"/>
        <w:ind w:left="1224"/>
        <w:rPr>
          <w:rFonts w:ascii="Arial" w:eastAsia="Times New Roman" w:hAnsi="Arial" w:cs="Arial"/>
          <w:color w:val="808080"/>
          <w:sz w:val="23"/>
          <w:szCs w:val="23"/>
        </w:rPr>
      </w:pPr>
      <w:r w:rsidRPr="008A7E4B">
        <w:rPr>
          <w:rFonts w:ascii="Arial" w:eastAsia="Times New Roman" w:hAnsi="Arial" w:cs="Arial"/>
          <w:color w:val="808080"/>
          <w:sz w:val="23"/>
          <w:szCs w:val="23"/>
        </w:rPr>
        <w:t>Xử lý các khiếu nại của Bên mua điện liên quan đến việc cung cấp điện.</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6: Giải quyết tranh chấp</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color w:val="808080"/>
          <w:sz w:val="23"/>
          <w:szCs w:val="23"/>
        </w:rPr>
        <w:lastRenderedPageBreak/>
        <w:t>Mọi tranh chấp phát sinh từ hợp đồng này sẽ được giải quyết thông qua thương lượng. Nếu không thể thương lượng, hai bên sẽ đưa ra Tòa án nhân dân có thẩm quyền để giải quyết.</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b/>
          <w:bCs/>
          <w:color w:val="808080"/>
          <w:sz w:val="23"/>
          <w:szCs w:val="23"/>
        </w:rPr>
        <w:t>Điều 7: Hiệu lực hợp đồng</w:t>
      </w:r>
    </w:p>
    <w:p w:rsidR="008A7E4B" w:rsidRPr="008A7E4B" w:rsidRDefault="008A7E4B" w:rsidP="008A7E4B">
      <w:pPr>
        <w:shd w:val="clear" w:color="auto" w:fill="FFFFFE"/>
        <w:spacing w:after="312"/>
        <w:rPr>
          <w:rFonts w:ascii="Arial" w:eastAsia="Times New Roman" w:hAnsi="Arial" w:cs="Arial"/>
          <w:color w:val="808080"/>
          <w:sz w:val="23"/>
          <w:szCs w:val="23"/>
        </w:rPr>
      </w:pPr>
      <w:r w:rsidRPr="008A7E4B">
        <w:rPr>
          <w:rFonts w:ascii="Arial" w:eastAsia="Times New Roman" w:hAnsi="Arial" w:cs="Arial"/>
          <w:color w:val="808080"/>
          <w:sz w:val="23"/>
          <w:szCs w:val="23"/>
        </w:rPr>
        <w:t>Hợp đồng này được lập thành 02 bản có giá trị pháp lý như nhau, mỗi bên giữ 01 bản.</w:t>
      </w:r>
    </w:p>
    <w:p w:rsidR="008A7E4B" w:rsidRDefault="008A7E4B" w:rsidP="008A7E4B">
      <w:pPr>
        <w:shd w:val="clear" w:color="auto" w:fill="FFFFFE"/>
        <w:spacing w:after="312"/>
        <w:rPr>
          <w:rFonts w:ascii="Arial" w:eastAsia="Times New Roman" w:hAnsi="Arial" w:cs="Arial"/>
          <w:b/>
          <w:bCs/>
          <w:color w:val="808080"/>
          <w:sz w:val="23"/>
          <w:szCs w:val="23"/>
        </w:rPr>
        <w:sectPr w:rsidR="008A7E4B">
          <w:pgSz w:w="12240" w:h="15840"/>
          <w:pgMar w:top="1440" w:right="1440" w:bottom="1440" w:left="1440" w:header="720" w:footer="720" w:gutter="0"/>
          <w:cols w:space="720"/>
          <w:docGrid w:linePitch="360"/>
        </w:sectPr>
      </w:pP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lastRenderedPageBreak/>
        <w:t>Bên bán điện</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[Ký tên]</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[Họ tên]</w:t>
      </w:r>
    </w:p>
    <w:p w:rsid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Chức vụ:</w:t>
      </w:r>
      <w:r w:rsidRPr="008A7E4B">
        <w:rPr>
          <w:rFonts w:ascii="Arial" w:eastAsia="Times New Roman" w:hAnsi="Arial" w:cs="Arial"/>
          <w:color w:val="808080"/>
          <w:sz w:val="23"/>
          <w:szCs w:val="23"/>
        </w:rPr>
        <w:t> [Chức vụ]</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lastRenderedPageBreak/>
        <w:t>Bên mua điện</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[Ký tên]</w:t>
      </w:r>
    </w:p>
    <w:p w:rsidR="008A7E4B" w:rsidRPr="008A7E4B" w:rsidRDefault="008A7E4B" w:rsidP="008A7E4B">
      <w:pPr>
        <w:shd w:val="clear" w:color="auto" w:fill="FFFFFE"/>
        <w:spacing w:after="312"/>
        <w:jc w:val="center"/>
        <w:rPr>
          <w:rFonts w:ascii="Arial" w:eastAsia="Times New Roman" w:hAnsi="Arial" w:cs="Arial"/>
          <w:color w:val="808080"/>
          <w:sz w:val="23"/>
          <w:szCs w:val="23"/>
        </w:rPr>
      </w:pPr>
      <w:r w:rsidRPr="008A7E4B">
        <w:rPr>
          <w:rFonts w:ascii="Arial" w:eastAsia="Times New Roman" w:hAnsi="Arial" w:cs="Arial"/>
          <w:b/>
          <w:bCs/>
          <w:color w:val="808080"/>
          <w:sz w:val="23"/>
          <w:szCs w:val="23"/>
        </w:rPr>
        <w:t>[Họ tên]</w:t>
      </w:r>
    </w:p>
    <w:p w:rsidR="008A7E4B" w:rsidRPr="008A7E4B" w:rsidRDefault="008A7E4B" w:rsidP="008A7E4B">
      <w:pPr>
        <w:shd w:val="clear" w:color="auto" w:fill="FFFFFE"/>
        <w:spacing w:after="312"/>
        <w:jc w:val="center"/>
        <w:rPr>
          <w:rFonts w:ascii="Arial" w:eastAsia="Times New Roman" w:hAnsi="Arial" w:cs="Arial"/>
          <w:color w:val="808080"/>
          <w:sz w:val="23"/>
          <w:szCs w:val="23"/>
        </w:rPr>
        <w:sectPr w:rsidR="008A7E4B" w:rsidRPr="008A7E4B" w:rsidSect="008A7E4B">
          <w:type w:val="continuous"/>
          <w:pgSz w:w="12240" w:h="15840"/>
          <w:pgMar w:top="1440" w:right="1440" w:bottom="1440" w:left="1440" w:header="720" w:footer="720" w:gutter="0"/>
          <w:cols w:num="2" w:space="720"/>
          <w:docGrid w:linePitch="360"/>
        </w:sectPr>
      </w:pPr>
      <w:r w:rsidRPr="008A7E4B">
        <w:rPr>
          <w:rFonts w:ascii="Arial" w:eastAsia="Times New Roman" w:hAnsi="Arial" w:cs="Arial"/>
          <w:b/>
          <w:bCs/>
          <w:color w:val="808080"/>
          <w:sz w:val="23"/>
          <w:szCs w:val="23"/>
        </w:rPr>
        <w:t>Chức vụ:</w:t>
      </w:r>
      <w:r w:rsidRPr="008A7E4B">
        <w:rPr>
          <w:rFonts w:ascii="Arial" w:eastAsia="Times New Roman" w:hAnsi="Arial" w:cs="Arial"/>
          <w:color w:val="808080"/>
          <w:sz w:val="23"/>
          <w:szCs w:val="23"/>
        </w:rPr>
        <w:t> [Chức vụ]</w:t>
      </w:r>
    </w:p>
    <w:p w:rsidR="00A9204E" w:rsidRDefault="00A9204E"/>
    <w:sectPr w:rsidR="00A9204E" w:rsidSect="008A7E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675638"/>
    <w:multiLevelType w:val="multilevel"/>
    <w:tmpl w:val="B2669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180B67"/>
    <w:multiLevelType w:val="multilevel"/>
    <w:tmpl w:val="4A6E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2F21DEB"/>
    <w:multiLevelType w:val="multilevel"/>
    <w:tmpl w:val="FED0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AC3D03"/>
    <w:multiLevelType w:val="multilevel"/>
    <w:tmpl w:val="A44A5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5"/>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6"/>
  </w:num>
  <w:num w:numId="24">
    <w:abstractNumId w:val="14"/>
  </w:num>
  <w:num w:numId="25">
    <w:abstractNumId w:val="23"/>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B"/>
    <w:rsid w:val="00645252"/>
    <w:rsid w:val="006D3D74"/>
    <w:rsid w:val="0083569A"/>
    <w:rsid w:val="008A7E4B"/>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B13"/>
  <w15:chartTrackingRefBased/>
  <w15:docId w15:val="{74FA99AB-541B-48C9-9D42-6170550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A7E4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2024-07-01T05:09:00Z</dcterms:created>
  <dcterms:modified xsi:type="dcterms:W3CDTF">2024-07-01T05:10:00Z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